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5998"/>
      </w:tblGrid>
      <w:tr w:rsidR="00DE4DD4" w:rsidRPr="00F61969" w14:paraId="037AEBD4" w14:textId="77777777" w:rsidTr="004823AC">
        <w:trPr>
          <w:trHeight w:val="485"/>
        </w:trPr>
        <w:tc>
          <w:tcPr>
            <w:tcW w:w="2970" w:type="dxa"/>
            <w:vAlign w:val="bottom"/>
          </w:tcPr>
          <w:p w14:paraId="6A6EE6E4" w14:textId="77777777" w:rsidR="00DE4DD4" w:rsidRPr="00F61969" w:rsidRDefault="00DE4DD4" w:rsidP="004823AC">
            <w:pPr>
              <w:spacing w:before="11" w:line="280" w:lineRule="exact"/>
              <w:jc w:val="right"/>
            </w:pPr>
            <w:r w:rsidRPr="00F61969">
              <w:t>Organizational Function Area:</w:t>
            </w:r>
          </w:p>
        </w:tc>
        <w:tc>
          <w:tcPr>
            <w:tcW w:w="6437" w:type="dxa"/>
            <w:vAlign w:val="bottom"/>
          </w:tcPr>
          <w:p w14:paraId="3B9CA536" w14:textId="5E5A999F" w:rsidR="00DE4DD4" w:rsidRPr="00F61969" w:rsidRDefault="004607ED" w:rsidP="004823AC">
            <w:pPr>
              <w:spacing w:before="11" w:line="280" w:lineRule="exact"/>
            </w:pPr>
            <w:r>
              <w:t xml:space="preserve"> Information Classification Policy</w:t>
            </w:r>
          </w:p>
        </w:tc>
      </w:tr>
      <w:tr w:rsidR="00DE4DD4" w:rsidRPr="00F61969" w14:paraId="2731393C" w14:textId="77777777" w:rsidTr="004823AC">
        <w:trPr>
          <w:trHeight w:val="450"/>
        </w:trPr>
        <w:tc>
          <w:tcPr>
            <w:tcW w:w="2970" w:type="dxa"/>
            <w:tcBorders>
              <w:bottom w:val="nil"/>
            </w:tcBorders>
            <w:vAlign w:val="bottom"/>
          </w:tcPr>
          <w:p w14:paraId="1DB5C403" w14:textId="77777777" w:rsidR="00DE4DD4" w:rsidRPr="00F61969" w:rsidRDefault="00DE4DD4" w:rsidP="004823AC">
            <w:pPr>
              <w:spacing w:before="11" w:line="280" w:lineRule="exact"/>
              <w:jc w:val="right"/>
            </w:pPr>
            <w:r w:rsidRPr="00F61969">
              <w:t>Board Approved:</w:t>
            </w:r>
          </w:p>
        </w:tc>
        <w:tc>
          <w:tcPr>
            <w:tcW w:w="6437" w:type="dxa"/>
            <w:tcBorders>
              <w:bottom w:val="nil"/>
            </w:tcBorders>
            <w:vAlign w:val="bottom"/>
          </w:tcPr>
          <w:p w14:paraId="612D7011" w14:textId="77777777" w:rsidR="00DE4DD4" w:rsidRPr="00F61969" w:rsidRDefault="00DE4DD4" w:rsidP="004823AC">
            <w:pPr>
              <w:spacing w:before="11" w:line="280" w:lineRule="exact"/>
            </w:pPr>
          </w:p>
        </w:tc>
      </w:tr>
      <w:tr w:rsidR="00DE4DD4" w:rsidRPr="00F61969" w14:paraId="56BD08FA" w14:textId="77777777" w:rsidTr="004823AC">
        <w:trPr>
          <w:trHeight w:val="20"/>
        </w:trPr>
        <w:tc>
          <w:tcPr>
            <w:tcW w:w="2970" w:type="dxa"/>
            <w:tcBorders>
              <w:top w:val="nil"/>
              <w:bottom w:val="nil"/>
            </w:tcBorders>
            <w:vAlign w:val="bottom"/>
          </w:tcPr>
          <w:p w14:paraId="266D6C58" w14:textId="77777777" w:rsidR="00DE4DD4" w:rsidRPr="00F61969" w:rsidRDefault="00DE4DD4" w:rsidP="004823AC">
            <w:pPr>
              <w:spacing w:before="11" w:line="280" w:lineRule="exact"/>
              <w:jc w:val="right"/>
            </w:pPr>
            <w:r w:rsidRPr="00F61969">
              <w:t>Last Revision Date:</w:t>
            </w:r>
          </w:p>
        </w:tc>
        <w:tc>
          <w:tcPr>
            <w:tcW w:w="6437" w:type="dxa"/>
            <w:tcBorders>
              <w:top w:val="nil"/>
              <w:bottom w:val="nil"/>
            </w:tcBorders>
            <w:vAlign w:val="bottom"/>
          </w:tcPr>
          <w:p w14:paraId="4EE232A0" w14:textId="0A2489A3" w:rsidR="00DE4DD4" w:rsidRPr="00F61969" w:rsidRDefault="004607ED" w:rsidP="004823AC">
            <w:pPr>
              <w:spacing w:before="11" w:line="280" w:lineRule="exact"/>
            </w:pPr>
            <w:r>
              <w:t>6/1/2015</w:t>
            </w:r>
          </w:p>
        </w:tc>
      </w:tr>
      <w:tr w:rsidR="00DE4DD4" w:rsidRPr="00F61969" w14:paraId="79AE373A" w14:textId="77777777" w:rsidTr="004823AC">
        <w:trPr>
          <w:trHeight w:val="20"/>
        </w:trPr>
        <w:tc>
          <w:tcPr>
            <w:tcW w:w="2970" w:type="dxa"/>
            <w:tcBorders>
              <w:top w:val="nil"/>
              <w:bottom w:val="nil"/>
            </w:tcBorders>
            <w:vAlign w:val="bottom"/>
          </w:tcPr>
          <w:p w14:paraId="2D0E4B65" w14:textId="77777777" w:rsidR="00DE4DD4" w:rsidRPr="00F61969" w:rsidRDefault="00DE4DD4" w:rsidP="004823AC">
            <w:pPr>
              <w:spacing w:before="11" w:line="280" w:lineRule="exact"/>
              <w:jc w:val="right"/>
            </w:pPr>
          </w:p>
        </w:tc>
        <w:tc>
          <w:tcPr>
            <w:tcW w:w="6437" w:type="dxa"/>
            <w:tcBorders>
              <w:top w:val="nil"/>
              <w:bottom w:val="nil"/>
            </w:tcBorders>
            <w:vAlign w:val="bottom"/>
          </w:tcPr>
          <w:p w14:paraId="186F1CBD" w14:textId="77777777" w:rsidR="00DE4DD4" w:rsidRPr="00F61969" w:rsidRDefault="00DE4DD4" w:rsidP="004823AC">
            <w:pPr>
              <w:spacing w:before="11" w:line="280" w:lineRule="exact"/>
            </w:pPr>
          </w:p>
        </w:tc>
      </w:tr>
      <w:tr w:rsidR="00DE4DD4" w:rsidRPr="00F61969" w14:paraId="24E39BD1" w14:textId="77777777" w:rsidTr="004823AC">
        <w:trPr>
          <w:trHeight w:val="20"/>
        </w:trPr>
        <w:tc>
          <w:tcPr>
            <w:tcW w:w="2970" w:type="dxa"/>
            <w:tcBorders>
              <w:top w:val="nil"/>
              <w:bottom w:val="nil"/>
            </w:tcBorders>
            <w:vAlign w:val="bottom"/>
          </w:tcPr>
          <w:p w14:paraId="2B89B198" w14:textId="77777777" w:rsidR="00DE4DD4" w:rsidRPr="00F61969" w:rsidRDefault="00DE4DD4" w:rsidP="004823AC">
            <w:pPr>
              <w:spacing w:before="11" w:line="280" w:lineRule="exact"/>
              <w:jc w:val="right"/>
            </w:pPr>
            <w:r w:rsidRPr="00F61969">
              <w:t>Department Responsible for Policy Maintenance:</w:t>
            </w:r>
          </w:p>
        </w:tc>
        <w:tc>
          <w:tcPr>
            <w:tcW w:w="6437" w:type="dxa"/>
            <w:tcBorders>
              <w:top w:val="nil"/>
              <w:bottom w:val="nil"/>
            </w:tcBorders>
            <w:vAlign w:val="bottom"/>
          </w:tcPr>
          <w:p w14:paraId="5C6EE211" w14:textId="77777777" w:rsidR="00DE4DD4" w:rsidRPr="00F61969" w:rsidRDefault="00DE4DD4" w:rsidP="004823AC">
            <w:pPr>
              <w:spacing w:before="11" w:line="280" w:lineRule="exact"/>
            </w:pPr>
            <w:r w:rsidRPr="00F61969">
              <w:t>Information Technology</w:t>
            </w:r>
          </w:p>
        </w:tc>
      </w:tr>
      <w:tr w:rsidR="00DE4DD4" w:rsidRPr="00F61969" w14:paraId="458616E8" w14:textId="77777777" w:rsidTr="004823AC">
        <w:trPr>
          <w:trHeight w:val="20"/>
        </w:trPr>
        <w:tc>
          <w:tcPr>
            <w:tcW w:w="2970" w:type="dxa"/>
            <w:tcBorders>
              <w:top w:val="nil"/>
              <w:bottom w:val="single" w:sz="4" w:space="0" w:color="auto"/>
            </w:tcBorders>
            <w:vAlign w:val="bottom"/>
          </w:tcPr>
          <w:p w14:paraId="4ADD5B25" w14:textId="77777777" w:rsidR="00DE4DD4" w:rsidRPr="00F61969" w:rsidRDefault="00DE4DD4" w:rsidP="004823AC">
            <w:pPr>
              <w:spacing w:before="11" w:line="280" w:lineRule="exact"/>
              <w:jc w:val="right"/>
            </w:pPr>
          </w:p>
        </w:tc>
        <w:tc>
          <w:tcPr>
            <w:tcW w:w="6437" w:type="dxa"/>
            <w:tcBorders>
              <w:top w:val="nil"/>
              <w:bottom w:val="single" w:sz="4" w:space="0" w:color="auto"/>
            </w:tcBorders>
            <w:vAlign w:val="bottom"/>
          </w:tcPr>
          <w:p w14:paraId="28FE7974" w14:textId="77777777" w:rsidR="00DE4DD4" w:rsidRPr="00F61969" w:rsidRDefault="00DE4DD4" w:rsidP="004823AC">
            <w:pPr>
              <w:spacing w:before="11" w:line="280" w:lineRule="exact"/>
            </w:pPr>
          </w:p>
        </w:tc>
      </w:tr>
    </w:tbl>
    <w:p w14:paraId="56125BF7" w14:textId="77777777" w:rsidR="00511203" w:rsidRDefault="00511203"/>
    <w:p w14:paraId="708C5AA7" w14:textId="77777777" w:rsidR="004607ED" w:rsidRPr="004B2C74" w:rsidRDefault="004607ED" w:rsidP="004607ED">
      <w:pPr>
        <w:pStyle w:val="BodyText"/>
        <w:rPr>
          <w:rFonts w:ascii="Calibri" w:hAnsi="Calibri"/>
          <w:i w:val="0"/>
          <w:sz w:val="22"/>
          <w:szCs w:val="22"/>
        </w:rPr>
      </w:pPr>
      <w:r w:rsidRPr="004B2C74">
        <w:rPr>
          <w:rFonts w:ascii="Calibri" w:hAnsi="Calibri"/>
          <w:b/>
          <w:i w:val="0"/>
          <w:sz w:val="22"/>
          <w:szCs w:val="22"/>
        </w:rPr>
        <w:t>Scope</w:t>
      </w:r>
      <w:r w:rsidRPr="004B2C74">
        <w:rPr>
          <w:rFonts w:ascii="Calibri" w:hAnsi="Calibri"/>
          <w:i w:val="0"/>
          <w:sz w:val="22"/>
          <w:szCs w:val="22"/>
        </w:rPr>
        <w:t>:  This policy governs the classification of information throughout the institution and includes the transmission of data to and from third parties.</w:t>
      </w:r>
    </w:p>
    <w:p w14:paraId="537EA4B7" w14:textId="77777777" w:rsidR="004607ED" w:rsidRPr="004B2C74" w:rsidRDefault="004607ED" w:rsidP="004607ED">
      <w:pPr>
        <w:pStyle w:val="BodyText"/>
        <w:rPr>
          <w:rFonts w:ascii="Calibri" w:hAnsi="Calibri"/>
          <w:i w:val="0"/>
          <w:sz w:val="22"/>
          <w:szCs w:val="22"/>
        </w:rPr>
      </w:pPr>
    </w:p>
    <w:p w14:paraId="3C81D79F" w14:textId="77777777" w:rsidR="004607ED" w:rsidRPr="004B2C74" w:rsidRDefault="004607ED" w:rsidP="004607ED">
      <w:pPr>
        <w:pStyle w:val="BodyText"/>
        <w:rPr>
          <w:rFonts w:ascii="Calibri" w:hAnsi="Calibri"/>
          <w:i w:val="0"/>
          <w:sz w:val="22"/>
          <w:szCs w:val="22"/>
        </w:rPr>
      </w:pPr>
      <w:r w:rsidRPr="004B2C74">
        <w:rPr>
          <w:rFonts w:ascii="Calibri" w:hAnsi="Calibri"/>
          <w:b/>
          <w:i w:val="0"/>
          <w:sz w:val="22"/>
          <w:szCs w:val="22"/>
        </w:rPr>
        <w:t>Purpose</w:t>
      </w:r>
      <w:r w:rsidRPr="004B2C74">
        <w:rPr>
          <w:rFonts w:ascii="Calibri" w:hAnsi="Calibri"/>
          <w:i w:val="0"/>
          <w:sz w:val="22"/>
          <w:szCs w:val="22"/>
        </w:rPr>
        <w:t>:  To develop standard definitions for classifying the sensitivity of data in order to apply appropriate safeguards in accordance with the data’s classification.</w:t>
      </w:r>
    </w:p>
    <w:p w14:paraId="5C39D21E" w14:textId="77777777" w:rsidR="004607ED" w:rsidRPr="004B2C74" w:rsidRDefault="004607ED" w:rsidP="004607ED">
      <w:pPr>
        <w:pStyle w:val="BodyText"/>
        <w:rPr>
          <w:rFonts w:ascii="Calibri" w:hAnsi="Calibri"/>
          <w:i w:val="0"/>
          <w:sz w:val="22"/>
          <w:szCs w:val="22"/>
        </w:rPr>
      </w:pPr>
    </w:p>
    <w:p w14:paraId="313E9D32" w14:textId="77777777" w:rsidR="004607ED" w:rsidRPr="004B2C74" w:rsidRDefault="004607ED" w:rsidP="004607ED">
      <w:pPr>
        <w:pStyle w:val="BodyText"/>
        <w:rPr>
          <w:rFonts w:ascii="Calibri" w:hAnsi="Calibri"/>
          <w:b/>
          <w:i w:val="0"/>
          <w:sz w:val="22"/>
          <w:szCs w:val="22"/>
        </w:rPr>
      </w:pPr>
      <w:r w:rsidRPr="004B2C74">
        <w:rPr>
          <w:rFonts w:ascii="Calibri" w:hAnsi="Calibri"/>
          <w:b/>
          <w:i w:val="0"/>
          <w:sz w:val="22"/>
          <w:szCs w:val="22"/>
        </w:rPr>
        <w:t>CLASSIFICATION LEVELS</w:t>
      </w:r>
    </w:p>
    <w:p w14:paraId="4A2147E7" w14:textId="77777777" w:rsidR="004607ED" w:rsidRPr="004B2C74" w:rsidRDefault="004607ED" w:rsidP="004607ED">
      <w:pPr>
        <w:pStyle w:val="BodyText"/>
        <w:rPr>
          <w:rFonts w:ascii="Calibri" w:hAnsi="Calibri"/>
          <w:b/>
          <w:i w:val="0"/>
          <w:sz w:val="22"/>
          <w:szCs w:val="22"/>
        </w:rPr>
      </w:pPr>
    </w:p>
    <w:p w14:paraId="79D0405B" w14:textId="77777777" w:rsidR="004607ED" w:rsidRPr="004B2C74" w:rsidRDefault="004607ED" w:rsidP="004607ED">
      <w:pPr>
        <w:pStyle w:val="BodyText"/>
        <w:rPr>
          <w:rFonts w:ascii="Calibri" w:hAnsi="Calibri"/>
          <w:i w:val="0"/>
          <w:sz w:val="22"/>
          <w:szCs w:val="22"/>
        </w:rPr>
      </w:pPr>
      <w:r w:rsidRPr="004B2C74">
        <w:rPr>
          <w:rFonts w:ascii="Calibri" w:hAnsi="Calibri"/>
          <w:i w:val="0"/>
          <w:sz w:val="22"/>
          <w:szCs w:val="22"/>
        </w:rPr>
        <w:t xml:space="preserve">The following classification levels are established: </w:t>
      </w:r>
    </w:p>
    <w:p w14:paraId="4541E249" w14:textId="77777777" w:rsidR="004607ED" w:rsidRPr="004B2C74" w:rsidRDefault="004607ED" w:rsidP="004607ED">
      <w:pPr>
        <w:pStyle w:val="BodyText"/>
        <w:rPr>
          <w:rFonts w:ascii="Calibri" w:hAnsi="Calibri"/>
          <w:i w:val="0"/>
          <w:sz w:val="22"/>
          <w:szCs w:val="22"/>
        </w:rPr>
      </w:pPr>
    </w:p>
    <w:p w14:paraId="0B92F4D9" w14:textId="77777777" w:rsidR="004607ED" w:rsidRPr="004B2C74" w:rsidRDefault="004607ED" w:rsidP="004607ED">
      <w:pPr>
        <w:pStyle w:val="BodyText"/>
        <w:rPr>
          <w:rFonts w:ascii="Calibri" w:hAnsi="Calibri"/>
          <w:b/>
          <w:i w:val="0"/>
          <w:sz w:val="22"/>
          <w:szCs w:val="22"/>
        </w:rPr>
      </w:pPr>
      <w:r w:rsidRPr="004B2C74">
        <w:rPr>
          <w:rFonts w:ascii="Calibri" w:hAnsi="Calibri"/>
          <w:b/>
          <w:i w:val="0"/>
          <w:sz w:val="22"/>
          <w:szCs w:val="22"/>
        </w:rPr>
        <w:t>Public</w:t>
      </w:r>
    </w:p>
    <w:p w14:paraId="1FC7D2A5" w14:textId="77777777" w:rsidR="004607ED" w:rsidRPr="004B2C74" w:rsidRDefault="004607ED" w:rsidP="004607ED">
      <w:pPr>
        <w:pStyle w:val="BodyText"/>
        <w:rPr>
          <w:rFonts w:ascii="Calibri" w:hAnsi="Calibri"/>
          <w:i w:val="0"/>
          <w:sz w:val="22"/>
          <w:szCs w:val="22"/>
        </w:rPr>
      </w:pPr>
    </w:p>
    <w:p w14:paraId="4FE8C50E" w14:textId="77777777" w:rsidR="004607ED" w:rsidRPr="004B2C74" w:rsidRDefault="004607ED" w:rsidP="004607ED">
      <w:pPr>
        <w:pStyle w:val="BodyText"/>
        <w:rPr>
          <w:rFonts w:ascii="Calibri" w:hAnsi="Calibri"/>
          <w:i w:val="0"/>
          <w:sz w:val="22"/>
          <w:szCs w:val="22"/>
        </w:rPr>
      </w:pPr>
      <w:r w:rsidRPr="004B2C74">
        <w:rPr>
          <w:rFonts w:ascii="Calibri" w:hAnsi="Calibri"/>
          <w:i w:val="0"/>
          <w:sz w:val="22"/>
          <w:szCs w:val="22"/>
        </w:rPr>
        <w:t xml:space="preserve">This information is freely available to the public.  Within this level no data is required to be secured from the public.  This classification includes items such as our business hours, marketing messages, etc. </w:t>
      </w:r>
    </w:p>
    <w:p w14:paraId="2FDC7E02" w14:textId="77777777" w:rsidR="004607ED" w:rsidRPr="004B2C74" w:rsidRDefault="004607ED" w:rsidP="004607ED">
      <w:pPr>
        <w:pStyle w:val="BodyText"/>
        <w:rPr>
          <w:rFonts w:ascii="Calibri" w:hAnsi="Calibri"/>
          <w:i w:val="0"/>
          <w:sz w:val="22"/>
          <w:szCs w:val="22"/>
        </w:rPr>
      </w:pPr>
    </w:p>
    <w:p w14:paraId="38DAD6FD" w14:textId="77777777" w:rsidR="004607ED" w:rsidRPr="004B2C74" w:rsidRDefault="004607ED" w:rsidP="004607ED">
      <w:pPr>
        <w:pStyle w:val="BodyText"/>
        <w:rPr>
          <w:rFonts w:ascii="Calibri" w:hAnsi="Calibri"/>
          <w:b/>
          <w:i w:val="0"/>
          <w:sz w:val="22"/>
          <w:szCs w:val="22"/>
        </w:rPr>
      </w:pPr>
      <w:r w:rsidRPr="004B2C74">
        <w:rPr>
          <w:rFonts w:ascii="Calibri" w:hAnsi="Calibri"/>
          <w:b/>
          <w:i w:val="0"/>
          <w:sz w:val="22"/>
          <w:szCs w:val="22"/>
        </w:rPr>
        <w:t>Confidential</w:t>
      </w:r>
    </w:p>
    <w:p w14:paraId="3E766D98" w14:textId="77777777" w:rsidR="004607ED" w:rsidRPr="004B2C74" w:rsidRDefault="004607ED" w:rsidP="004607ED">
      <w:pPr>
        <w:pStyle w:val="BodyText"/>
        <w:rPr>
          <w:rFonts w:ascii="Calibri" w:hAnsi="Calibri"/>
          <w:i w:val="0"/>
          <w:sz w:val="22"/>
          <w:szCs w:val="22"/>
        </w:rPr>
      </w:pPr>
    </w:p>
    <w:p w14:paraId="60573735" w14:textId="77777777" w:rsidR="004607ED" w:rsidRPr="004B2C74" w:rsidRDefault="004607ED" w:rsidP="004607ED">
      <w:pPr>
        <w:pStyle w:val="BodyText"/>
        <w:rPr>
          <w:rFonts w:ascii="Calibri" w:hAnsi="Calibri"/>
          <w:i w:val="0"/>
          <w:sz w:val="22"/>
          <w:szCs w:val="22"/>
        </w:rPr>
      </w:pPr>
      <w:r w:rsidRPr="004B2C74">
        <w:rPr>
          <w:rFonts w:ascii="Calibri" w:hAnsi="Calibri"/>
          <w:i w:val="0"/>
          <w:sz w:val="22"/>
          <w:szCs w:val="22"/>
        </w:rPr>
        <w:t>This level of classification requires the information to be secured from public access.  This includes any material with sensitive customer information.  Sensitive customer information is defined as customer name, address or telephone number, in conjunction with the person’s social security number, driver’s license number, credit or debit card number, personal identification number, or password that would permit access to the customer’s account.</w:t>
      </w:r>
    </w:p>
    <w:p w14:paraId="0CEDE80A" w14:textId="77777777" w:rsidR="004607ED" w:rsidRPr="004B2C74" w:rsidRDefault="004607ED" w:rsidP="004607ED">
      <w:pPr>
        <w:pStyle w:val="BodyText"/>
        <w:rPr>
          <w:rFonts w:ascii="Calibri" w:hAnsi="Calibri"/>
          <w:i w:val="0"/>
          <w:sz w:val="22"/>
          <w:szCs w:val="22"/>
        </w:rPr>
      </w:pPr>
    </w:p>
    <w:p w14:paraId="1DEB7DCF" w14:textId="77777777" w:rsidR="004607ED" w:rsidRPr="004B2C74" w:rsidRDefault="004607ED" w:rsidP="004607ED">
      <w:pPr>
        <w:pStyle w:val="BodyText"/>
        <w:rPr>
          <w:rFonts w:ascii="Calibri" w:hAnsi="Calibri"/>
          <w:b/>
          <w:i w:val="0"/>
          <w:sz w:val="22"/>
          <w:szCs w:val="22"/>
        </w:rPr>
      </w:pPr>
      <w:r w:rsidRPr="004B2C74">
        <w:rPr>
          <w:rFonts w:ascii="Calibri" w:hAnsi="Calibri"/>
          <w:b/>
          <w:i w:val="0"/>
          <w:sz w:val="22"/>
          <w:szCs w:val="22"/>
        </w:rPr>
        <w:t xml:space="preserve">Private </w:t>
      </w:r>
    </w:p>
    <w:p w14:paraId="6E462E2F" w14:textId="77777777" w:rsidR="004607ED" w:rsidRPr="004B2C74" w:rsidRDefault="004607ED" w:rsidP="004607ED">
      <w:pPr>
        <w:pStyle w:val="BodyText"/>
        <w:rPr>
          <w:rFonts w:ascii="Calibri" w:hAnsi="Calibri"/>
          <w:i w:val="0"/>
          <w:sz w:val="22"/>
          <w:szCs w:val="22"/>
        </w:rPr>
      </w:pPr>
    </w:p>
    <w:p w14:paraId="1566C5ED" w14:textId="77777777" w:rsidR="004607ED" w:rsidRDefault="004607ED" w:rsidP="004607ED">
      <w:pPr>
        <w:pStyle w:val="BodyText"/>
        <w:rPr>
          <w:rFonts w:ascii="Calibri" w:hAnsi="Calibri"/>
          <w:i w:val="0"/>
          <w:sz w:val="22"/>
          <w:szCs w:val="22"/>
        </w:rPr>
      </w:pPr>
      <w:r w:rsidRPr="004B2C74">
        <w:rPr>
          <w:rFonts w:ascii="Calibri" w:hAnsi="Calibri"/>
          <w:i w:val="0"/>
          <w:sz w:val="22"/>
          <w:szCs w:val="22"/>
        </w:rPr>
        <w:t>This data is only available to senior management, or approved personnel.  This includes information such as employee records, risk assessments, strategic plans, etc.</w:t>
      </w:r>
    </w:p>
    <w:p w14:paraId="02DB583D" w14:textId="77777777" w:rsidR="00D249D3" w:rsidRPr="004B2C74" w:rsidRDefault="00D249D3" w:rsidP="004607ED">
      <w:pPr>
        <w:pStyle w:val="BodyText"/>
        <w:rPr>
          <w:rFonts w:ascii="Calibri" w:hAnsi="Calibri"/>
          <w:i w:val="0"/>
          <w:sz w:val="22"/>
          <w:szCs w:val="22"/>
        </w:rPr>
      </w:pPr>
      <w:bookmarkStart w:id="0" w:name="_GoBack"/>
      <w:bookmarkEnd w:id="0"/>
    </w:p>
    <w:p w14:paraId="22C3CA86" w14:textId="77777777" w:rsidR="004607ED" w:rsidRPr="004B2C74" w:rsidRDefault="004607ED" w:rsidP="004607ED">
      <w:pPr>
        <w:pStyle w:val="BodyText"/>
        <w:rPr>
          <w:rFonts w:ascii="Calibri" w:hAnsi="Calibri"/>
          <w:b/>
          <w:i w:val="0"/>
          <w:sz w:val="22"/>
          <w:szCs w:val="22"/>
        </w:rPr>
      </w:pPr>
      <w:r w:rsidRPr="004B2C74">
        <w:rPr>
          <w:rFonts w:ascii="Calibri" w:hAnsi="Calibri"/>
          <w:b/>
          <w:i w:val="0"/>
          <w:sz w:val="22"/>
          <w:szCs w:val="22"/>
        </w:rPr>
        <w:t>REQUIREMENTS</w:t>
      </w:r>
    </w:p>
    <w:p w14:paraId="4C3D3DB6" w14:textId="77777777" w:rsidR="004607ED" w:rsidRPr="004B2C74" w:rsidRDefault="004607ED" w:rsidP="004607ED">
      <w:pPr>
        <w:pStyle w:val="BodyText"/>
        <w:rPr>
          <w:rFonts w:ascii="Calibri" w:hAnsi="Calibri"/>
          <w:i w:val="0"/>
          <w:sz w:val="22"/>
          <w:szCs w:val="22"/>
        </w:rPr>
      </w:pPr>
    </w:p>
    <w:p w14:paraId="64755072" w14:textId="77777777" w:rsidR="004607ED" w:rsidRPr="004B2C74" w:rsidRDefault="004607ED" w:rsidP="004607ED">
      <w:pPr>
        <w:pStyle w:val="BodyText"/>
        <w:rPr>
          <w:rFonts w:ascii="Calibri" w:hAnsi="Calibri"/>
          <w:i w:val="0"/>
          <w:sz w:val="22"/>
          <w:szCs w:val="22"/>
        </w:rPr>
      </w:pPr>
      <w:r w:rsidRPr="004B2C74">
        <w:rPr>
          <w:rFonts w:ascii="Calibri" w:hAnsi="Calibri"/>
          <w:i w:val="0"/>
          <w:sz w:val="22"/>
          <w:szCs w:val="22"/>
        </w:rPr>
        <w:t xml:space="preserve">The term “non-public” information is used to refer to all data not considered public.  This includes all data classified as </w:t>
      </w:r>
      <w:r w:rsidRPr="004B2C74">
        <w:rPr>
          <w:rFonts w:ascii="Calibri" w:hAnsi="Calibri"/>
          <w:b/>
          <w:i w:val="0"/>
          <w:sz w:val="22"/>
          <w:szCs w:val="22"/>
        </w:rPr>
        <w:t>Confidential</w:t>
      </w:r>
      <w:r w:rsidRPr="004B2C74">
        <w:rPr>
          <w:rFonts w:ascii="Calibri" w:hAnsi="Calibri"/>
          <w:i w:val="0"/>
          <w:sz w:val="22"/>
          <w:szCs w:val="22"/>
        </w:rPr>
        <w:t xml:space="preserve"> or </w:t>
      </w:r>
      <w:r w:rsidRPr="004B2C74">
        <w:rPr>
          <w:rFonts w:ascii="Calibri" w:hAnsi="Calibri"/>
          <w:b/>
          <w:i w:val="0"/>
          <w:sz w:val="22"/>
          <w:szCs w:val="22"/>
        </w:rPr>
        <w:t>Private</w:t>
      </w:r>
      <w:r w:rsidRPr="004B2C74">
        <w:rPr>
          <w:rFonts w:ascii="Calibri" w:hAnsi="Calibri"/>
          <w:i w:val="0"/>
          <w:sz w:val="22"/>
          <w:szCs w:val="22"/>
        </w:rPr>
        <w:t>.</w:t>
      </w:r>
    </w:p>
    <w:p w14:paraId="039C23BF" w14:textId="77777777" w:rsidR="004607ED" w:rsidRPr="004B2C74" w:rsidRDefault="004607ED" w:rsidP="004607ED">
      <w:pPr>
        <w:pStyle w:val="BodyText"/>
        <w:rPr>
          <w:rFonts w:ascii="Calibri" w:hAnsi="Calibri"/>
          <w:i w:val="0"/>
          <w:sz w:val="22"/>
          <w:szCs w:val="22"/>
        </w:rPr>
      </w:pPr>
    </w:p>
    <w:p w14:paraId="1814134E" w14:textId="77777777" w:rsidR="004607ED" w:rsidRPr="004B2C74" w:rsidRDefault="004607ED" w:rsidP="004607ED">
      <w:pPr>
        <w:pStyle w:val="BodyText"/>
        <w:rPr>
          <w:rFonts w:ascii="Calibri" w:hAnsi="Calibri"/>
          <w:i w:val="0"/>
          <w:sz w:val="22"/>
          <w:szCs w:val="22"/>
        </w:rPr>
      </w:pPr>
      <w:r w:rsidRPr="004B2C74">
        <w:rPr>
          <w:rFonts w:ascii="Calibri" w:hAnsi="Calibri"/>
          <w:i w:val="0"/>
          <w:sz w:val="22"/>
          <w:szCs w:val="22"/>
        </w:rPr>
        <w:t xml:space="preserve">The following requirements are established to governed access to and control of non-public information.  In the event that a specific issue is not addressed, employees are expected to take </w:t>
      </w:r>
      <w:r w:rsidRPr="004B2C74">
        <w:rPr>
          <w:rFonts w:ascii="Calibri" w:hAnsi="Calibri"/>
          <w:i w:val="0"/>
          <w:sz w:val="22"/>
          <w:szCs w:val="22"/>
        </w:rPr>
        <w:lastRenderedPageBreak/>
        <w:t xml:space="preserve">appropriate cautions to avoid any potential disclosure, misuse, or alteration of non-public information.  </w:t>
      </w:r>
    </w:p>
    <w:p w14:paraId="553564A9" w14:textId="77777777" w:rsidR="004607ED" w:rsidRPr="004B2C74" w:rsidRDefault="004607ED" w:rsidP="004607ED">
      <w:pPr>
        <w:pStyle w:val="BodyText"/>
        <w:rPr>
          <w:rFonts w:ascii="Calibri" w:hAnsi="Calibri"/>
          <w:i w:val="0"/>
          <w:sz w:val="22"/>
          <w:szCs w:val="22"/>
        </w:rPr>
      </w:pPr>
    </w:p>
    <w:p w14:paraId="7C63929D" w14:textId="77777777" w:rsidR="004607ED" w:rsidRDefault="004607ED" w:rsidP="004607ED">
      <w:pPr>
        <w:pStyle w:val="BodyText"/>
        <w:rPr>
          <w:rFonts w:ascii="Calibri" w:hAnsi="Calibri"/>
          <w:i w:val="0"/>
          <w:sz w:val="22"/>
          <w:szCs w:val="22"/>
        </w:rPr>
      </w:pPr>
      <w:r w:rsidRPr="0016795C">
        <w:rPr>
          <w:rFonts w:ascii="Calibri" w:hAnsi="Calibri"/>
          <w:b/>
          <w:i w:val="0"/>
          <w:sz w:val="22"/>
          <w:szCs w:val="22"/>
        </w:rPr>
        <w:t>Transmission</w:t>
      </w:r>
      <w:r>
        <w:rPr>
          <w:rFonts w:ascii="Calibri" w:hAnsi="Calibri"/>
          <w:b/>
          <w:i w:val="0"/>
          <w:sz w:val="22"/>
          <w:szCs w:val="22"/>
        </w:rPr>
        <w:t xml:space="preserve">:  </w:t>
      </w:r>
      <w:r w:rsidRPr="0016795C">
        <w:rPr>
          <w:rFonts w:ascii="Calibri" w:hAnsi="Calibri"/>
          <w:i w:val="0"/>
          <w:sz w:val="22"/>
          <w:szCs w:val="22"/>
        </w:rPr>
        <w:t xml:space="preserve">All non-public information transmitted via an unsecured connection (e.g. Internet), will be encrypted to a commercially reasonable standard in order to prohibit the unauthorized access to such information.   </w:t>
      </w:r>
    </w:p>
    <w:p w14:paraId="12FC8E78" w14:textId="77777777" w:rsidR="004607ED" w:rsidRPr="0016795C" w:rsidRDefault="004607ED" w:rsidP="004607ED">
      <w:pPr>
        <w:pStyle w:val="BodyText"/>
        <w:rPr>
          <w:rFonts w:ascii="Calibri" w:hAnsi="Calibri"/>
          <w:i w:val="0"/>
          <w:sz w:val="22"/>
          <w:szCs w:val="22"/>
        </w:rPr>
      </w:pPr>
    </w:p>
    <w:p w14:paraId="7DF247C3" w14:textId="77777777" w:rsidR="004607ED" w:rsidRPr="0016795C" w:rsidRDefault="004607ED" w:rsidP="004607ED">
      <w:pPr>
        <w:pStyle w:val="BodyText"/>
        <w:rPr>
          <w:rFonts w:ascii="Calibri" w:hAnsi="Calibri"/>
          <w:i w:val="0"/>
          <w:sz w:val="22"/>
          <w:szCs w:val="22"/>
        </w:rPr>
      </w:pPr>
      <w:r w:rsidRPr="0016795C">
        <w:rPr>
          <w:rFonts w:ascii="Calibri" w:hAnsi="Calibri"/>
          <w:b/>
          <w:i w:val="0"/>
          <w:sz w:val="22"/>
          <w:szCs w:val="22"/>
        </w:rPr>
        <w:t>Disclosure</w:t>
      </w:r>
      <w:r>
        <w:rPr>
          <w:rFonts w:ascii="Calibri" w:hAnsi="Calibri"/>
          <w:b/>
          <w:i w:val="0"/>
          <w:sz w:val="22"/>
          <w:szCs w:val="22"/>
        </w:rPr>
        <w:t xml:space="preserve">:  </w:t>
      </w:r>
      <w:r w:rsidRPr="0016795C">
        <w:rPr>
          <w:rFonts w:ascii="Calibri" w:hAnsi="Calibri"/>
          <w:i w:val="0"/>
          <w:sz w:val="22"/>
          <w:szCs w:val="22"/>
        </w:rPr>
        <w:t>Prior to disclosure of non-public information, the identity of the requestor, and authorization to have such information, must be confirmed prior to disclosing the information.</w:t>
      </w:r>
    </w:p>
    <w:p w14:paraId="52B8108E" w14:textId="77777777" w:rsidR="004607ED" w:rsidRPr="0016795C" w:rsidRDefault="004607ED" w:rsidP="004607ED">
      <w:pPr>
        <w:pStyle w:val="BodyText"/>
        <w:rPr>
          <w:rFonts w:ascii="Calibri" w:hAnsi="Calibri"/>
          <w:i w:val="0"/>
          <w:sz w:val="22"/>
          <w:szCs w:val="22"/>
        </w:rPr>
      </w:pPr>
    </w:p>
    <w:p w14:paraId="7A5FF638" w14:textId="77777777" w:rsidR="004607ED" w:rsidRDefault="004607ED" w:rsidP="004607ED">
      <w:pPr>
        <w:pStyle w:val="BodyText"/>
        <w:rPr>
          <w:rFonts w:ascii="Calibri" w:hAnsi="Calibri"/>
          <w:i w:val="0"/>
          <w:sz w:val="22"/>
          <w:szCs w:val="22"/>
        </w:rPr>
      </w:pPr>
      <w:r w:rsidRPr="0016795C">
        <w:rPr>
          <w:rFonts w:ascii="Calibri" w:hAnsi="Calibri"/>
          <w:i w:val="0"/>
          <w:sz w:val="22"/>
          <w:szCs w:val="22"/>
        </w:rPr>
        <w:t>Call-back verification is mandatory for all third-party requests for non-public information when the identity of the caller cannot be verified.  This includes requests for information from vendors, regulators, consultants, auditors, etc.  The call-back will be made to a phone number of the entity that is known to be legitimate.</w:t>
      </w:r>
    </w:p>
    <w:p w14:paraId="4E75ABFE" w14:textId="77777777" w:rsidR="004607ED" w:rsidRPr="0016795C" w:rsidRDefault="004607ED" w:rsidP="004607ED">
      <w:pPr>
        <w:pStyle w:val="BodyText"/>
        <w:rPr>
          <w:rFonts w:ascii="Calibri" w:hAnsi="Calibri"/>
          <w:i w:val="0"/>
          <w:sz w:val="22"/>
          <w:szCs w:val="22"/>
        </w:rPr>
      </w:pPr>
    </w:p>
    <w:p w14:paraId="13540D9C" w14:textId="77777777" w:rsidR="004607ED" w:rsidRPr="004B2C74" w:rsidRDefault="004607ED" w:rsidP="004607ED">
      <w:pPr>
        <w:pStyle w:val="BodyText"/>
        <w:rPr>
          <w:rFonts w:ascii="Calibri" w:hAnsi="Calibri"/>
          <w:i w:val="0"/>
          <w:sz w:val="22"/>
          <w:szCs w:val="22"/>
        </w:rPr>
      </w:pPr>
      <w:r w:rsidRPr="004B2C74">
        <w:rPr>
          <w:rFonts w:ascii="Calibri" w:hAnsi="Calibri"/>
          <w:b/>
          <w:i w:val="0"/>
          <w:sz w:val="22"/>
          <w:szCs w:val="22"/>
        </w:rPr>
        <w:t xml:space="preserve">Storage:  </w:t>
      </w:r>
      <w:r w:rsidRPr="004B2C74">
        <w:rPr>
          <w:rFonts w:ascii="Calibri" w:hAnsi="Calibri"/>
          <w:i w:val="0"/>
          <w:sz w:val="22"/>
          <w:szCs w:val="22"/>
        </w:rPr>
        <w:t>All non-public information will be stored in an institution-controlled facility or an institution-approved storage facility.  Within the institution, non-public information will be secured when not in use.  This includes information that is pending destruction.</w:t>
      </w:r>
    </w:p>
    <w:p w14:paraId="1A9AE773" w14:textId="77777777" w:rsidR="004607ED" w:rsidRPr="004B2C74" w:rsidRDefault="004607ED" w:rsidP="004607ED">
      <w:pPr>
        <w:pStyle w:val="BodyText"/>
        <w:rPr>
          <w:rFonts w:ascii="Calibri" w:hAnsi="Calibri"/>
          <w:i w:val="0"/>
          <w:sz w:val="22"/>
          <w:szCs w:val="22"/>
        </w:rPr>
      </w:pPr>
    </w:p>
    <w:p w14:paraId="43ADEF15" w14:textId="77777777" w:rsidR="004607ED" w:rsidRPr="004B2C74" w:rsidRDefault="004607ED" w:rsidP="004607ED">
      <w:pPr>
        <w:pStyle w:val="BodyText"/>
        <w:rPr>
          <w:rFonts w:ascii="Calibri" w:hAnsi="Calibri"/>
          <w:i w:val="0"/>
          <w:sz w:val="22"/>
          <w:szCs w:val="22"/>
        </w:rPr>
      </w:pPr>
      <w:r w:rsidRPr="004B2C74">
        <w:rPr>
          <w:rFonts w:ascii="Calibri" w:hAnsi="Calibri"/>
          <w:b/>
          <w:i w:val="0"/>
          <w:sz w:val="22"/>
          <w:szCs w:val="22"/>
        </w:rPr>
        <w:t xml:space="preserve">Removal:  </w:t>
      </w:r>
      <w:r w:rsidRPr="004B2C74">
        <w:rPr>
          <w:rFonts w:ascii="Calibri" w:hAnsi="Calibri"/>
          <w:i w:val="0"/>
          <w:sz w:val="22"/>
          <w:szCs w:val="22"/>
        </w:rPr>
        <w:t xml:space="preserve">Should non-public data need to be removed from an institution controlled or approved facility, the information will be appropriately controlled in order to prevent unauthorized access.  This may include controls such as physical possession of the information by an employee, or encryption of material via a commercially reasonable means.  </w:t>
      </w:r>
    </w:p>
    <w:p w14:paraId="02B9DD56" w14:textId="77777777" w:rsidR="004607ED" w:rsidRPr="004B2C74" w:rsidRDefault="004607ED" w:rsidP="004607ED">
      <w:pPr>
        <w:pStyle w:val="BodyText"/>
        <w:rPr>
          <w:rFonts w:ascii="Calibri" w:hAnsi="Calibri"/>
          <w:i w:val="0"/>
          <w:sz w:val="22"/>
          <w:szCs w:val="22"/>
        </w:rPr>
      </w:pPr>
    </w:p>
    <w:p w14:paraId="2F6CE484" w14:textId="77777777" w:rsidR="004607ED" w:rsidRPr="004B2C74" w:rsidRDefault="004607ED" w:rsidP="004607ED">
      <w:pPr>
        <w:pStyle w:val="BodyText"/>
        <w:rPr>
          <w:rFonts w:ascii="Calibri" w:hAnsi="Calibri"/>
          <w:i w:val="0"/>
          <w:sz w:val="22"/>
          <w:szCs w:val="22"/>
        </w:rPr>
      </w:pPr>
      <w:r w:rsidRPr="004B2C74">
        <w:rPr>
          <w:rFonts w:ascii="Calibri" w:hAnsi="Calibri"/>
          <w:b/>
          <w:i w:val="0"/>
          <w:sz w:val="22"/>
          <w:szCs w:val="22"/>
        </w:rPr>
        <w:t>Requests</w:t>
      </w:r>
      <w:r w:rsidRPr="004B2C74">
        <w:rPr>
          <w:rFonts w:ascii="Calibri" w:hAnsi="Calibri"/>
          <w:i w:val="0"/>
          <w:sz w:val="22"/>
          <w:szCs w:val="22"/>
        </w:rPr>
        <w:t xml:space="preserve">:  There may be times that we request others to provide non-public information to us.  In these events, we will ensure that a secure method is provided or used to obtain the non-public information.  Although we cannot guarantee that the other party will use a secure method, we will ensure that a secure method is available for use. </w:t>
      </w:r>
    </w:p>
    <w:p w14:paraId="7F875F3D" w14:textId="77777777" w:rsidR="004607ED" w:rsidRPr="004B2C74" w:rsidRDefault="004607ED" w:rsidP="004607ED">
      <w:pPr>
        <w:pStyle w:val="BodyText"/>
        <w:rPr>
          <w:rFonts w:ascii="Calibri" w:hAnsi="Calibri"/>
          <w:i w:val="0"/>
          <w:sz w:val="22"/>
          <w:szCs w:val="22"/>
        </w:rPr>
      </w:pPr>
    </w:p>
    <w:p w14:paraId="075D9C5A" w14:textId="77777777" w:rsidR="004607ED" w:rsidRPr="004B2C74" w:rsidRDefault="004607ED" w:rsidP="004607ED">
      <w:pPr>
        <w:pStyle w:val="BodyText"/>
        <w:rPr>
          <w:rFonts w:ascii="Calibri" w:hAnsi="Calibri"/>
          <w:i w:val="0"/>
          <w:sz w:val="22"/>
          <w:szCs w:val="22"/>
        </w:rPr>
      </w:pPr>
      <w:r w:rsidRPr="004B2C74">
        <w:rPr>
          <w:rFonts w:ascii="Calibri" w:hAnsi="Calibri"/>
          <w:b/>
          <w:i w:val="0"/>
          <w:sz w:val="22"/>
          <w:szCs w:val="22"/>
        </w:rPr>
        <w:t xml:space="preserve">Destruction: </w:t>
      </w:r>
      <w:r w:rsidRPr="004B2C74">
        <w:rPr>
          <w:rFonts w:ascii="Calibri" w:hAnsi="Calibri"/>
          <w:i w:val="0"/>
          <w:sz w:val="22"/>
          <w:szCs w:val="22"/>
        </w:rPr>
        <w:t>When no longer needed, all non-public information will be appropriately destroyed in a manner that prohibits the recovery of the information.  This includes information in any form, paper or electronic.  At a minimum, paper media will be destroyed with a commercially reasonable process and electronic media will be degaussed and/or physically destroyed.</w:t>
      </w:r>
    </w:p>
    <w:p w14:paraId="2D43DF78" w14:textId="77777777" w:rsidR="004607ED" w:rsidRPr="004B2C74" w:rsidRDefault="004607ED" w:rsidP="004607ED">
      <w:pPr>
        <w:pStyle w:val="BodyText"/>
        <w:rPr>
          <w:rFonts w:ascii="Calibri" w:hAnsi="Calibri"/>
          <w:i w:val="0"/>
          <w:sz w:val="22"/>
          <w:szCs w:val="22"/>
        </w:rPr>
      </w:pPr>
    </w:p>
    <w:p w14:paraId="1FE0CFF8" w14:textId="77777777" w:rsidR="004607ED" w:rsidRPr="004B2C74" w:rsidRDefault="004607ED" w:rsidP="004607ED">
      <w:pPr>
        <w:pStyle w:val="BodyText"/>
        <w:rPr>
          <w:rFonts w:ascii="Calibri" w:hAnsi="Calibri"/>
          <w:i w:val="0"/>
          <w:sz w:val="22"/>
          <w:szCs w:val="22"/>
        </w:rPr>
      </w:pPr>
      <w:r w:rsidRPr="004B2C74">
        <w:rPr>
          <w:rFonts w:ascii="Calibri" w:hAnsi="Calibri"/>
          <w:b/>
          <w:i w:val="0"/>
          <w:sz w:val="22"/>
          <w:szCs w:val="22"/>
        </w:rPr>
        <w:t xml:space="preserve">Return/Retiring of Equipment:  </w:t>
      </w:r>
      <w:r w:rsidRPr="004B2C74">
        <w:rPr>
          <w:rFonts w:ascii="Calibri" w:hAnsi="Calibri"/>
          <w:i w:val="0"/>
          <w:sz w:val="22"/>
          <w:szCs w:val="22"/>
        </w:rPr>
        <w:t>If any equipment is returned or retired, any non-public data stored on the equipment will be appropriately removed via commercially reasonable method that would prevent recovery of that information.  This requirement includes all leased or rented equipment.</w:t>
      </w:r>
    </w:p>
    <w:p w14:paraId="0E971A9D" w14:textId="77777777" w:rsidR="004607ED" w:rsidRPr="004B2C74" w:rsidRDefault="004607ED" w:rsidP="004607ED">
      <w:pPr>
        <w:pStyle w:val="BodyText"/>
        <w:rPr>
          <w:rFonts w:ascii="Calibri" w:hAnsi="Calibri"/>
          <w:i w:val="0"/>
          <w:sz w:val="22"/>
          <w:szCs w:val="22"/>
        </w:rPr>
      </w:pPr>
    </w:p>
    <w:p w14:paraId="55E4B161" w14:textId="77777777" w:rsidR="004607ED" w:rsidRPr="004B2C74" w:rsidRDefault="004607ED" w:rsidP="004607ED">
      <w:pPr>
        <w:pStyle w:val="BodyText"/>
        <w:rPr>
          <w:rFonts w:ascii="Calibri" w:hAnsi="Calibri"/>
          <w:i w:val="0"/>
          <w:sz w:val="22"/>
          <w:szCs w:val="22"/>
        </w:rPr>
      </w:pPr>
      <w:r w:rsidRPr="004B2C74">
        <w:rPr>
          <w:rFonts w:ascii="Calibri" w:hAnsi="Calibri"/>
          <w:b/>
          <w:i w:val="0"/>
          <w:sz w:val="22"/>
          <w:szCs w:val="22"/>
        </w:rPr>
        <w:t xml:space="preserve">Cancellation of Services:  </w:t>
      </w:r>
      <w:r w:rsidRPr="004B2C74">
        <w:rPr>
          <w:rFonts w:ascii="Calibri" w:hAnsi="Calibri"/>
          <w:i w:val="0"/>
          <w:sz w:val="22"/>
          <w:szCs w:val="22"/>
        </w:rPr>
        <w:t xml:space="preserve">In many situations there may be third-parties that have access to, or process, non-public data on our behalf.   In conjunction with the </w:t>
      </w:r>
      <w:r w:rsidRPr="004B2C74">
        <w:rPr>
          <w:rFonts w:ascii="Calibri" w:hAnsi="Calibri"/>
          <w:b/>
          <w:i w:val="0"/>
          <w:sz w:val="22"/>
          <w:szCs w:val="22"/>
        </w:rPr>
        <w:t>Vendor Management Program</w:t>
      </w:r>
      <w:r w:rsidRPr="004B2C74">
        <w:rPr>
          <w:rFonts w:ascii="Calibri" w:hAnsi="Calibri"/>
          <w:i w:val="0"/>
          <w:sz w:val="22"/>
          <w:szCs w:val="22"/>
        </w:rPr>
        <w:t xml:space="preserve">, all non-public data with third-parties will be returned, destroyed, or appropriately secured after the termination of services with that third-party. </w:t>
      </w:r>
    </w:p>
    <w:p w14:paraId="66F426DE" w14:textId="65B51FA8" w:rsidR="008C345F" w:rsidRPr="008C345F" w:rsidRDefault="008C345F" w:rsidP="004607ED"/>
    <w:sectPr w:rsidR="008C345F" w:rsidRPr="008C345F" w:rsidSect="007A6C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03"/>
    <w:rsid w:val="0009083C"/>
    <w:rsid w:val="00124A1E"/>
    <w:rsid w:val="003F6191"/>
    <w:rsid w:val="004607ED"/>
    <w:rsid w:val="004924BD"/>
    <w:rsid w:val="00511203"/>
    <w:rsid w:val="00600FB1"/>
    <w:rsid w:val="006B01C2"/>
    <w:rsid w:val="007003D0"/>
    <w:rsid w:val="007A6CB0"/>
    <w:rsid w:val="008C345F"/>
    <w:rsid w:val="009A627A"/>
    <w:rsid w:val="00BD343A"/>
    <w:rsid w:val="00CF471E"/>
    <w:rsid w:val="00D249D3"/>
    <w:rsid w:val="00DE4DD4"/>
    <w:rsid w:val="00E33577"/>
    <w:rsid w:val="00F0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3924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607ED"/>
    <w:rPr>
      <w:rFonts w:ascii="Verdana" w:eastAsia="Times New Roman" w:hAnsi="Verdana" w:cs="Times New Roman"/>
      <w:i/>
      <w:sz w:val="16"/>
      <w:szCs w:val="20"/>
    </w:rPr>
  </w:style>
  <w:style w:type="character" w:customStyle="1" w:styleId="BodyTextChar">
    <w:name w:val="Body Text Char"/>
    <w:basedOn w:val="DefaultParagraphFont"/>
    <w:link w:val="BodyText"/>
    <w:rsid w:val="004607ED"/>
    <w:rPr>
      <w:rFonts w:ascii="Verdana" w:eastAsia="Times New Roman" w:hAnsi="Verdana" w:cs="Times New Roman"/>
      <w:i/>
      <w:sz w:val="1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607ED"/>
    <w:rPr>
      <w:rFonts w:ascii="Verdana" w:eastAsia="Times New Roman" w:hAnsi="Verdana" w:cs="Times New Roman"/>
      <w:i/>
      <w:sz w:val="16"/>
      <w:szCs w:val="20"/>
    </w:rPr>
  </w:style>
  <w:style w:type="character" w:customStyle="1" w:styleId="BodyTextChar">
    <w:name w:val="Body Text Char"/>
    <w:basedOn w:val="DefaultParagraphFont"/>
    <w:link w:val="BodyText"/>
    <w:rsid w:val="004607ED"/>
    <w:rPr>
      <w:rFonts w:ascii="Verdana" w:eastAsia="Times New Roman" w:hAnsi="Verdana" w:cs="Times New Roman"/>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Macintosh Word</Application>
  <DocSecurity>0</DocSecurity>
  <Lines>32</Lines>
  <Paragraphs>9</Paragraphs>
  <ScaleCrop>false</ScaleCrop>
  <Company>PhishingBox</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Fenster</dc:creator>
  <cp:keywords/>
  <dc:description/>
  <cp:lastModifiedBy>Bradley Fenster</cp:lastModifiedBy>
  <cp:revision>3</cp:revision>
  <dcterms:created xsi:type="dcterms:W3CDTF">2015-06-09T19:07:00Z</dcterms:created>
  <dcterms:modified xsi:type="dcterms:W3CDTF">2015-08-11T15:36:00Z</dcterms:modified>
</cp:coreProperties>
</file>